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b/>
          <w:color w:val="auto"/>
          <w:lang w:eastAsia="zh-CN"/>
        </w:rPr>
      </w:pPr>
    </w:p>
    <w:p>
      <w:pPr>
        <w:ind w:left="-410" w:leftChars="-171"/>
        <w:jc w:val="center"/>
        <w:rPr>
          <w:rFonts w:hint="eastAsia"/>
          <w:b/>
          <w:color w:val="auto"/>
          <w:lang w:eastAsia="zh-CN"/>
        </w:rPr>
      </w:pPr>
      <w:r>
        <w:rPr>
          <w:rFonts w:hint="eastAsia"/>
          <w:b/>
          <w:color w:val="auto"/>
          <w:lang w:eastAsia="zh-CN"/>
        </w:rPr>
        <w:t>蓄热式电加热开水炉技术要求</w:t>
      </w:r>
    </w:p>
    <w:p>
      <w:pPr>
        <w:ind w:left="-410" w:leftChars="-171"/>
        <w:jc w:val="center"/>
        <w:rPr>
          <w:rFonts w:hint="eastAsia"/>
          <w:b/>
          <w:color w:val="auto"/>
          <w:lang w:val="en-US" w:eastAsia="zh-CN"/>
        </w:rPr>
      </w:pPr>
      <w:r>
        <w:rPr>
          <w:rFonts w:hint="eastAsia"/>
          <w:b/>
          <w:color w:val="auto"/>
          <w:lang w:val="en-US" w:eastAsia="zh-CN"/>
        </w:rPr>
        <w:t>数量   1台</w:t>
      </w:r>
    </w:p>
    <w:p>
      <w:pPr>
        <w:spacing w:line="360" w:lineRule="auto"/>
        <w:ind w:left="70" w:leftChars="0" w:hanging="70" w:hangingChars="25"/>
        <w:rPr>
          <w:rFonts w:ascii="宋体" w:hAnsi="宋体"/>
          <w:color w:val="auto"/>
          <w:sz w:val="24"/>
          <w:szCs w:val="24"/>
        </w:rPr>
      </w:pPr>
      <w:r>
        <w:rPr>
          <w:rFonts w:hint="eastAsia" w:ascii="宋体" w:hAnsi="宋体"/>
          <w:color w:val="auto"/>
          <w:sz w:val="28"/>
          <w:szCs w:val="28"/>
        </w:rPr>
        <w:t>一、</w:t>
      </w:r>
      <w:r>
        <w:rPr>
          <w:rFonts w:hint="eastAsia" w:ascii="宋体" w:hAnsi="宋体"/>
          <w:color w:val="auto"/>
          <w:sz w:val="24"/>
          <w:szCs w:val="24"/>
        </w:rPr>
        <w:t>设备名称及数量：</w:t>
      </w:r>
    </w:p>
    <w:p>
      <w:pPr>
        <w:spacing w:line="360" w:lineRule="auto"/>
        <w:ind w:left="242" w:leftChars="101" w:firstLine="420" w:firstLineChars="175"/>
        <w:rPr>
          <w:rFonts w:hint="eastAsia" w:ascii="宋体" w:hAnsi="宋体"/>
          <w:color w:val="auto"/>
          <w:sz w:val="24"/>
          <w:szCs w:val="24"/>
        </w:rPr>
      </w:pPr>
      <w:r>
        <w:rPr>
          <w:rFonts w:hint="eastAsia" w:ascii="宋体" w:hAnsi="宋体"/>
          <w:color w:val="auto"/>
          <w:sz w:val="24"/>
          <w:szCs w:val="24"/>
        </w:rPr>
        <w:t>蓄热式电加热开水锅炉（3吨）   1台</w:t>
      </w:r>
    </w:p>
    <w:p>
      <w:pPr>
        <w:spacing w:line="360" w:lineRule="auto"/>
        <w:ind w:left="60" w:leftChars="0" w:hanging="60" w:hangingChars="25"/>
        <w:rPr>
          <w:rFonts w:ascii="宋体" w:hAnsi="宋体"/>
          <w:color w:val="auto"/>
          <w:sz w:val="24"/>
          <w:szCs w:val="24"/>
        </w:rPr>
      </w:pPr>
      <w:r>
        <w:rPr>
          <w:rFonts w:hint="eastAsia" w:ascii="宋体" w:hAnsi="宋体"/>
          <w:color w:val="auto"/>
          <w:sz w:val="24"/>
          <w:szCs w:val="24"/>
        </w:rPr>
        <w:t>二、详细技术指标、配置、要求：</w:t>
      </w:r>
    </w:p>
    <w:p>
      <w:pPr>
        <w:spacing w:line="360" w:lineRule="auto"/>
        <w:ind w:left="60" w:leftChars="0" w:hanging="60" w:hangingChars="25"/>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 xml:space="preserve"> </w:t>
      </w:r>
      <w:r>
        <w:rPr>
          <w:rFonts w:hint="eastAsia" w:ascii="宋体" w:hAnsi="宋体"/>
          <w:color w:val="auto"/>
          <w:sz w:val="24"/>
          <w:szCs w:val="24"/>
        </w:rPr>
        <w:t>产品要求节能环保，性能稳定，造型美观，采用食用级不锈钢内胆或搪瓷内胆，外包装及保温层封闭良好。</w:t>
      </w:r>
    </w:p>
    <w:p>
      <w:pPr>
        <w:spacing w:line="360" w:lineRule="auto"/>
        <w:ind w:left="60" w:leftChars="0" w:hanging="60" w:hangingChars="25"/>
        <w:rPr>
          <w:rFonts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 xml:space="preserve"> </w:t>
      </w:r>
      <w:r>
        <w:rPr>
          <w:rFonts w:hint="eastAsia" w:ascii="宋体" w:hAnsi="宋体"/>
          <w:color w:val="auto"/>
          <w:sz w:val="24"/>
          <w:szCs w:val="24"/>
        </w:rPr>
        <w:t>产品可设置手动状态和蓄热状态，蓄热状态下可分时段进行开关机。</w:t>
      </w:r>
    </w:p>
    <w:p>
      <w:pPr>
        <w:spacing w:line="360" w:lineRule="auto"/>
        <w:ind w:left="60" w:leftChars="0" w:hanging="60" w:hangingChars="25"/>
        <w:rPr>
          <w:rFonts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val="en-US" w:eastAsia="zh-CN"/>
        </w:rPr>
        <w:t xml:space="preserve"> </w:t>
      </w:r>
      <w:r>
        <w:rPr>
          <w:rFonts w:hint="eastAsia" w:ascii="宋体" w:hAnsi="宋体"/>
          <w:color w:val="auto"/>
          <w:sz w:val="24"/>
          <w:szCs w:val="24"/>
        </w:rPr>
        <w:t>智能化控制系统，定时开关机，自动控温、自动控时、自动进水，设有安全保障程序、进水口、回水口、排污口。在停水等非正常情况下，加热器能自动停止工作，具备防漏电、防干烧、防溢水、防火阻燃、防蒸汽、故障显示报警功能。</w:t>
      </w:r>
    </w:p>
    <w:p>
      <w:pPr>
        <w:spacing w:line="360" w:lineRule="auto"/>
        <w:ind w:left="60" w:leftChars="0" w:hanging="60" w:hangingChars="25"/>
        <w:rPr>
          <w:rFonts w:hint="eastAsia"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val="en-US" w:eastAsia="zh-CN"/>
        </w:rPr>
        <w:t xml:space="preserve"> </w:t>
      </w:r>
      <w:r>
        <w:rPr>
          <w:rFonts w:hint="eastAsia" w:ascii="宋体" w:hAnsi="宋体"/>
          <w:color w:val="auto"/>
          <w:sz w:val="24"/>
          <w:szCs w:val="24"/>
        </w:rPr>
        <w:t>加热管安装为水电分离方式，法兰连接，可在炉体外拆换加热管。</w:t>
      </w:r>
    </w:p>
    <w:p>
      <w:pPr>
        <w:spacing w:line="360" w:lineRule="auto"/>
        <w:ind w:left="60" w:leftChars="0" w:hanging="60" w:hangingChars="25"/>
        <w:rPr>
          <w:rFonts w:ascii="宋体" w:hAnsi="宋体"/>
          <w:color w:val="auto"/>
          <w:sz w:val="24"/>
          <w:szCs w:val="24"/>
        </w:rPr>
      </w:pPr>
      <w:r>
        <w:rPr>
          <w:rFonts w:hint="eastAsia" w:ascii="宋体" w:hAnsi="宋体"/>
          <w:color w:val="auto"/>
          <w:sz w:val="24"/>
          <w:szCs w:val="24"/>
        </w:rPr>
        <w:t>5.</w:t>
      </w:r>
      <w:r>
        <w:rPr>
          <w:rFonts w:hint="eastAsia" w:ascii="宋体" w:hAnsi="宋体"/>
          <w:color w:val="auto"/>
          <w:sz w:val="24"/>
          <w:szCs w:val="24"/>
          <w:lang w:val="en-US" w:eastAsia="zh-CN"/>
        </w:rPr>
        <w:t xml:space="preserve"> </w:t>
      </w:r>
      <w:r>
        <w:rPr>
          <w:rFonts w:hint="eastAsia" w:ascii="宋体" w:hAnsi="宋体"/>
          <w:color w:val="auto"/>
          <w:sz w:val="24"/>
          <w:szCs w:val="24"/>
        </w:rPr>
        <w:t>产品设置检查人孔，方便进行炉内清洗。</w:t>
      </w:r>
    </w:p>
    <w:p>
      <w:pPr>
        <w:spacing w:line="360" w:lineRule="auto"/>
        <w:ind w:left="60" w:leftChars="0" w:hanging="60" w:hangingChars="25"/>
        <w:rPr>
          <w:rFonts w:ascii="宋体" w:hAnsi="宋体"/>
          <w:color w:val="auto"/>
          <w:sz w:val="24"/>
          <w:szCs w:val="24"/>
        </w:rPr>
      </w:pPr>
      <w:r>
        <w:rPr>
          <w:rFonts w:hint="eastAsia" w:ascii="宋体" w:hAnsi="宋体"/>
          <w:color w:val="auto"/>
          <w:sz w:val="24"/>
          <w:szCs w:val="24"/>
        </w:rPr>
        <w:t>6.</w:t>
      </w:r>
      <w:r>
        <w:rPr>
          <w:rFonts w:hint="eastAsia" w:ascii="宋体" w:hAnsi="宋体"/>
          <w:color w:val="auto"/>
          <w:sz w:val="24"/>
          <w:szCs w:val="24"/>
          <w:lang w:val="en-US" w:eastAsia="zh-CN"/>
        </w:rPr>
        <w:t xml:space="preserve"> </w:t>
      </w:r>
      <w:r>
        <w:rPr>
          <w:rFonts w:hint="eastAsia" w:ascii="宋体" w:hAnsi="宋体"/>
          <w:color w:val="auto"/>
          <w:sz w:val="24"/>
          <w:szCs w:val="24"/>
        </w:rPr>
        <w:t>锅炉在晚间利用谷电在7个小时内完成开水加热，投标书应详细说明不同规格锅炉的加热管功率和数量配备。</w:t>
      </w:r>
    </w:p>
    <w:p>
      <w:pPr>
        <w:spacing w:line="360" w:lineRule="auto"/>
        <w:ind w:left="60" w:leftChars="0" w:hanging="60" w:hangingChars="25"/>
        <w:rPr>
          <w:rFonts w:ascii="宋体" w:hAnsi="宋体"/>
          <w:color w:val="auto"/>
          <w:sz w:val="24"/>
          <w:szCs w:val="24"/>
        </w:rPr>
      </w:pPr>
      <w:r>
        <w:rPr>
          <w:rFonts w:hint="eastAsia" w:ascii="宋体" w:hAnsi="宋体"/>
          <w:color w:val="auto"/>
          <w:sz w:val="24"/>
          <w:szCs w:val="24"/>
        </w:rPr>
        <w:t>7.</w:t>
      </w:r>
      <w:r>
        <w:rPr>
          <w:rFonts w:hint="eastAsia" w:ascii="宋体" w:hAnsi="宋体"/>
          <w:color w:val="auto"/>
          <w:sz w:val="24"/>
          <w:szCs w:val="24"/>
          <w:lang w:val="en-US" w:eastAsia="zh-CN"/>
        </w:rPr>
        <w:t xml:space="preserve"> </w:t>
      </w:r>
      <w:r>
        <w:rPr>
          <w:rFonts w:hint="eastAsia" w:ascii="宋体" w:hAnsi="宋体"/>
          <w:color w:val="auto"/>
          <w:sz w:val="24"/>
          <w:szCs w:val="24"/>
        </w:rPr>
        <w:t>额定电压380V，热转换率高，节能效果好，且能准确达到设定的出水温度。</w:t>
      </w:r>
    </w:p>
    <w:p>
      <w:pPr>
        <w:spacing w:line="360" w:lineRule="auto"/>
        <w:ind w:left="60" w:leftChars="0" w:hanging="60" w:hangingChars="25"/>
        <w:rPr>
          <w:rFonts w:ascii="宋体" w:hAnsi="宋体"/>
          <w:color w:val="auto"/>
          <w:sz w:val="24"/>
          <w:szCs w:val="24"/>
        </w:rPr>
      </w:pPr>
      <w:r>
        <w:rPr>
          <w:rFonts w:hint="eastAsia" w:ascii="宋体" w:hAnsi="宋体"/>
          <w:color w:val="auto"/>
          <w:sz w:val="24"/>
          <w:szCs w:val="24"/>
        </w:rPr>
        <w:t>8.</w:t>
      </w:r>
      <w:r>
        <w:rPr>
          <w:rFonts w:hint="eastAsia" w:ascii="宋体" w:hAnsi="宋体"/>
          <w:color w:val="auto"/>
          <w:sz w:val="24"/>
          <w:szCs w:val="24"/>
          <w:lang w:val="en-US" w:eastAsia="zh-CN"/>
        </w:rPr>
        <w:t xml:space="preserve"> </w:t>
      </w:r>
      <w:r>
        <w:rPr>
          <w:rFonts w:hint="eastAsia" w:ascii="宋体" w:hAnsi="宋体"/>
          <w:color w:val="auto"/>
          <w:sz w:val="24"/>
          <w:szCs w:val="24"/>
        </w:rPr>
        <w:t>投标书应详细说明产品使用功能，产品配置及主要部件清单，产品彩页。</w:t>
      </w:r>
    </w:p>
    <w:p>
      <w:pPr>
        <w:spacing w:line="360" w:lineRule="auto"/>
        <w:ind w:left="60" w:leftChars="0" w:hanging="60" w:hangingChars="25"/>
        <w:rPr>
          <w:rFonts w:ascii="宋体" w:hAnsi="宋体"/>
          <w:color w:val="auto"/>
          <w:sz w:val="24"/>
          <w:szCs w:val="24"/>
        </w:rPr>
      </w:pPr>
      <w:r>
        <w:rPr>
          <w:rFonts w:hint="eastAsia" w:ascii="宋体" w:hAnsi="宋体"/>
          <w:color w:val="auto"/>
          <w:sz w:val="24"/>
          <w:szCs w:val="24"/>
        </w:rPr>
        <w:t>9.</w:t>
      </w:r>
      <w:r>
        <w:rPr>
          <w:rFonts w:hint="eastAsia" w:ascii="宋体" w:hAnsi="宋体"/>
          <w:color w:val="auto"/>
          <w:sz w:val="24"/>
          <w:szCs w:val="24"/>
          <w:lang w:val="en-US" w:eastAsia="zh-CN"/>
        </w:rPr>
        <w:t xml:space="preserve"> </w:t>
      </w:r>
      <w:r>
        <w:rPr>
          <w:rFonts w:hint="eastAsia" w:ascii="宋体" w:hAnsi="宋体"/>
          <w:color w:val="auto"/>
          <w:sz w:val="24"/>
          <w:szCs w:val="24"/>
        </w:rPr>
        <w:t>产品制造商应有特种设备制造许可证（锅炉）B级以上资质，如投标人是代理销售商，应出具制造商授权文件。</w:t>
      </w:r>
    </w:p>
    <w:p>
      <w:pPr>
        <w:spacing w:line="360" w:lineRule="auto"/>
        <w:ind w:left="60" w:leftChars="0" w:hanging="60" w:hangingChars="25"/>
        <w:rPr>
          <w:rFonts w:ascii="宋体" w:hAnsi="宋体"/>
          <w:color w:val="auto"/>
          <w:sz w:val="24"/>
          <w:szCs w:val="24"/>
        </w:rPr>
      </w:pPr>
      <w:r>
        <w:rPr>
          <w:rFonts w:hint="eastAsia" w:ascii="宋体" w:hAnsi="宋体"/>
          <w:color w:val="auto"/>
          <w:sz w:val="24"/>
          <w:szCs w:val="24"/>
        </w:rPr>
        <w:t>10.</w:t>
      </w:r>
      <w:r>
        <w:rPr>
          <w:rFonts w:hint="eastAsia" w:ascii="宋体" w:hAnsi="宋体"/>
          <w:color w:val="auto"/>
          <w:sz w:val="24"/>
          <w:szCs w:val="24"/>
          <w:lang w:val="en-US" w:eastAsia="zh-CN"/>
        </w:rPr>
        <w:t xml:space="preserve"> </w:t>
      </w:r>
      <w:r>
        <w:rPr>
          <w:rFonts w:hint="eastAsia" w:ascii="宋体" w:hAnsi="宋体"/>
          <w:color w:val="auto"/>
          <w:sz w:val="24"/>
          <w:szCs w:val="24"/>
        </w:rPr>
        <w:t>投标书对不同型号产品进行单独报价。</w:t>
      </w:r>
    </w:p>
    <w:p>
      <w:pPr>
        <w:spacing w:line="360" w:lineRule="auto"/>
        <w:ind w:left="60" w:leftChars="0" w:hanging="60" w:hangingChars="25"/>
        <w:rPr>
          <w:rFonts w:hint="eastAsia" w:ascii="宋体" w:hAnsi="宋体"/>
          <w:color w:val="auto"/>
          <w:sz w:val="24"/>
          <w:szCs w:val="24"/>
        </w:rPr>
      </w:pPr>
      <w:r>
        <w:rPr>
          <w:rFonts w:hint="eastAsia" w:ascii="宋体" w:hAnsi="宋体"/>
          <w:color w:val="auto"/>
          <w:sz w:val="24"/>
          <w:szCs w:val="24"/>
        </w:rPr>
        <w:t>11.</w:t>
      </w:r>
      <w:r>
        <w:rPr>
          <w:rFonts w:hint="eastAsia" w:ascii="宋体" w:hAnsi="宋体"/>
          <w:color w:val="auto"/>
          <w:sz w:val="24"/>
          <w:szCs w:val="24"/>
          <w:lang w:val="en-US" w:eastAsia="zh-CN"/>
        </w:rPr>
        <w:t xml:space="preserve"> </w:t>
      </w:r>
      <w:r>
        <w:rPr>
          <w:rFonts w:hint="eastAsia" w:ascii="宋体" w:hAnsi="宋体"/>
          <w:color w:val="auto"/>
          <w:sz w:val="24"/>
          <w:szCs w:val="24"/>
        </w:rPr>
        <w:t>所投产品加热后的开水必须符合国家有关饮用水安全的有关规定。</w:t>
      </w:r>
    </w:p>
    <w:p>
      <w:pPr>
        <w:spacing w:line="360" w:lineRule="auto"/>
        <w:ind w:left="60" w:leftChars="0" w:hanging="60" w:hangingChars="25"/>
        <w:rPr>
          <w:rFonts w:hint="eastAsia" w:ascii="宋体" w:hAnsi="宋体"/>
          <w:color w:val="auto"/>
          <w:sz w:val="24"/>
          <w:szCs w:val="24"/>
        </w:rPr>
      </w:pPr>
      <w:r>
        <w:rPr>
          <w:rFonts w:hint="eastAsia" w:ascii="宋体" w:hAnsi="宋体" w:eastAsia="宋体" w:cs="宋体"/>
          <w:color w:val="auto"/>
          <w:sz w:val="24"/>
          <w:szCs w:val="24"/>
          <w:lang w:val="en-US" w:eastAsia="zh-CN"/>
        </w:rPr>
        <w:t xml:space="preserve">12. </w:t>
      </w:r>
      <w:r>
        <w:rPr>
          <w:rFonts w:hint="eastAsia" w:ascii="宋体" w:hAnsi="宋体" w:eastAsia="宋体" w:cs="宋体"/>
          <w:color w:val="auto"/>
          <w:sz w:val="24"/>
          <w:szCs w:val="24"/>
        </w:rPr>
        <w:t>提供投标人类似</w:t>
      </w: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业绩及合同复印件。</w:t>
      </w:r>
    </w:p>
    <w:p>
      <w:pPr>
        <w:spacing w:line="360" w:lineRule="auto"/>
        <w:ind w:left="60" w:leftChars="0" w:hanging="60" w:hangingChars="25"/>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3</w:t>
      </w:r>
      <w:r>
        <w:rPr>
          <w:rFonts w:hint="eastAsia" w:ascii="宋体" w:hAnsi="宋体"/>
          <w:color w:val="auto"/>
          <w:sz w:val="24"/>
          <w:szCs w:val="24"/>
        </w:rPr>
        <w:t>.</w:t>
      </w:r>
      <w:r>
        <w:rPr>
          <w:rFonts w:hint="eastAsia" w:ascii="宋体" w:hAnsi="宋体"/>
          <w:color w:val="auto"/>
          <w:sz w:val="24"/>
          <w:szCs w:val="24"/>
          <w:lang w:val="en-US" w:eastAsia="zh-CN"/>
        </w:rPr>
        <w:t xml:space="preserve"> </w:t>
      </w:r>
      <w:r>
        <w:rPr>
          <w:rFonts w:hint="eastAsia" w:ascii="宋体" w:hAnsi="宋体"/>
          <w:color w:val="auto"/>
          <w:sz w:val="24"/>
          <w:szCs w:val="24"/>
        </w:rPr>
        <w:t>此项目产品均安装在学生公寓开水锅炉间，因锅炉间空间有限，投标人应详细踏查现场，确保所投炉体外形尺寸、管线安装符合场地要求。投标人以文苑九公寓为例，参考在用开水锅炉使用需求，投标前进行锅炉间局部改造、设备安装、电力线路和进出水管道设计，投标书附带设计图纸，设计图纸应能指导施工队伍进行锅炉间改造及设备安装工程，投标人在中标后一周内完成对所有产品的安装设计，将设计图纸交由建设单位负责人。</w:t>
      </w:r>
    </w:p>
    <w:p>
      <w:pPr>
        <w:spacing w:line="360" w:lineRule="auto"/>
        <w:ind w:left="60" w:leftChars="0" w:hanging="60" w:hangingChars="25"/>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4</w:t>
      </w:r>
      <w:r>
        <w:rPr>
          <w:rFonts w:hint="eastAsia" w:ascii="宋体" w:hAnsi="宋体"/>
          <w:color w:val="auto"/>
          <w:sz w:val="24"/>
          <w:szCs w:val="24"/>
        </w:rPr>
        <w:t>.</w:t>
      </w:r>
      <w:r>
        <w:rPr>
          <w:rFonts w:hint="eastAsia" w:ascii="宋体" w:hAnsi="宋体"/>
          <w:color w:val="auto"/>
          <w:sz w:val="24"/>
          <w:szCs w:val="24"/>
          <w:lang w:val="en-US" w:eastAsia="zh-CN"/>
        </w:rPr>
        <w:t xml:space="preserve"> </w:t>
      </w:r>
      <w:r>
        <w:rPr>
          <w:rFonts w:hint="eastAsia" w:ascii="宋体" w:hAnsi="宋体"/>
          <w:color w:val="auto"/>
          <w:sz w:val="24"/>
          <w:szCs w:val="24"/>
        </w:rPr>
        <w:t>投标人负责指导后期施工单位进行锅炉安装、调试等工作。</w:t>
      </w:r>
    </w:p>
    <w:p>
      <w:pPr>
        <w:spacing w:line="360" w:lineRule="auto"/>
        <w:ind w:left="60" w:leftChars="0" w:hanging="60" w:hangingChars="25"/>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5</w:t>
      </w:r>
      <w:r>
        <w:rPr>
          <w:rFonts w:hint="eastAsia" w:ascii="宋体" w:hAnsi="宋体"/>
          <w:color w:val="auto"/>
          <w:sz w:val="24"/>
          <w:szCs w:val="24"/>
        </w:rPr>
        <w:t>.</w:t>
      </w:r>
      <w:r>
        <w:rPr>
          <w:rFonts w:hint="eastAsia" w:ascii="宋体" w:hAnsi="宋体"/>
          <w:color w:val="auto"/>
          <w:sz w:val="24"/>
          <w:szCs w:val="24"/>
          <w:lang w:val="en-US" w:eastAsia="zh-CN"/>
        </w:rPr>
        <w:t xml:space="preserve"> </w:t>
      </w:r>
      <w:r>
        <w:rPr>
          <w:rFonts w:hint="eastAsia" w:ascii="宋体" w:hAnsi="宋体"/>
          <w:color w:val="auto"/>
          <w:sz w:val="24"/>
          <w:szCs w:val="24"/>
        </w:rPr>
        <w:t>产品执行国家标准，所用原器件原材料必须为国家法定的质检机构有关部门认证的合格产品。</w:t>
      </w:r>
    </w:p>
    <w:p>
      <w:pPr>
        <w:spacing w:line="500" w:lineRule="exact"/>
        <w:ind w:firstLine="241" w:firstLineChars="100"/>
        <w:rPr>
          <w:rFonts w:hint="eastAsia" w:ascii="宋体" w:hAnsi="宋体"/>
          <w:b/>
          <w:sz w:val="24"/>
        </w:rPr>
      </w:pPr>
      <w:r>
        <w:rPr>
          <w:rFonts w:hint="eastAsia" w:ascii="宋体" w:hAnsi="宋体"/>
          <w:b/>
          <w:sz w:val="24"/>
          <w:lang w:eastAsia="zh-CN"/>
        </w:rPr>
        <w:t>三</w:t>
      </w:r>
      <w:r>
        <w:rPr>
          <w:rFonts w:hint="eastAsia" w:ascii="宋体" w:hAnsi="宋体"/>
          <w:b/>
          <w:sz w:val="24"/>
        </w:rPr>
        <w:t>、付款方式：</w:t>
      </w:r>
    </w:p>
    <w:p>
      <w:pPr>
        <w:spacing w:line="500" w:lineRule="exact"/>
        <w:ind w:firstLine="480" w:firstLineChars="200"/>
        <w:rPr>
          <w:rFonts w:hint="eastAsia" w:ascii="宋体" w:hAnsi="宋体"/>
          <w:sz w:val="24"/>
          <w:lang w:eastAsia="zh-CN"/>
        </w:rPr>
      </w:pPr>
      <w:r>
        <w:rPr>
          <w:rFonts w:hint="eastAsia" w:ascii="宋体" w:hAnsi="宋体"/>
          <w:sz w:val="24"/>
        </w:rPr>
        <w:t>工程竣工验收合格决算审计后付工程总造价的</w:t>
      </w:r>
      <w:r>
        <w:rPr>
          <w:rFonts w:hint="eastAsia" w:ascii="宋体" w:hAnsi="宋体"/>
          <w:sz w:val="24"/>
          <w:lang w:val="en-US" w:eastAsia="zh-CN"/>
        </w:rPr>
        <w:t>100</w:t>
      </w:r>
      <w:r>
        <w:rPr>
          <w:rFonts w:hint="eastAsia" w:ascii="宋体" w:hAnsi="宋体"/>
          <w:sz w:val="24"/>
        </w:rPr>
        <w:t>％</w:t>
      </w:r>
      <w:r>
        <w:rPr>
          <w:rFonts w:hint="eastAsia" w:ascii="宋体" w:hAnsi="宋体"/>
          <w:sz w:val="24"/>
          <w:lang w:eastAsia="zh-CN"/>
        </w:rPr>
        <w:t>。</w:t>
      </w:r>
    </w:p>
    <w:p>
      <w:pPr>
        <w:spacing w:line="500" w:lineRule="exact"/>
        <w:ind w:firstLine="240" w:firstLineChars="100"/>
        <w:rPr>
          <w:rFonts w:hint="eastAsia" w:ascii="宋体" w:hAnsi="宋体"/>
          <w:sz w:val="24"/>
          <w:lang w:eastAsia="zh-CN"/>
        </w:rPr>
      </w:pPr>
      <w:r>
        <w:rPr>
          <w:rFonts w:hint="eastAsia" w:ascii="宋体" w:hAnsi="宋体"/>
          <w:sz w:val="24"/>
          <w:lang w:eastAsia="zh-CN"/>
        </w:rPr>
        <w:t>四、交货日期：自合同签订之日起</w:t>
      </w:r>
      <w:r>
        <w:rPr>
          <w:rFonts w:hint="eastAsia" w:ascii="宋体" w:hAnsi="宋体"/>
          <w:sz w:val="24"/>
          <w:lang w:val="en-US" w:eastAsia="zh-CN"/>
        </w:rPr>
        <w:t>30日交货，并送货到指定地点。</w:t>
      </w:r>
    </w:p>
    <w:p>
      <w:pPr>
        <w:spacing w:line="500" w:lineRule="exact"/>
        <w:ind w:firstLine="241" w:firstLineChars="100"/>
        <w:rPr>
          <w:rFonts w:hint="eastAsia" w:ascii="宋体" w:hAnsi="宋体"/>
          <w:sz w:val="24"/>
        </w:rPr>
      </w:pPr>
      <w:r>
        <w:rPr>
          <w:rFonts w:hint="eastAsia" w:ascii="宋体" w:hAnsi="宋体"/>
          <w:b/>
          <w:sz w:val="24"/>
          <w:lang w:eastAsia="zh-CN"/>
        </w:rPr>
        <w:t>五</w:t>
      </w:r>
      <w:r>
        <w:rPr>
          <w:rFonts w:hint="eastAsia" w:ascii="宋体" w:hAnsi="宋体"/>
          <w:b/>
          <w:sz w:val="24"/>
        </w:rPr>
        <w:t>、违约责任</w:t>
      </w:r>
      <w:r>
        <w:rPr>
          <w:rFonts w:hint="eastAsia" w:ascii="宋体" w:hAnsi="宋体"/>
          <w:sz w:val="24"/>
        </w:rPr>
        <w:t>：</w:t>
      </w:r>
    </w:p>
    <w:p>
      <w:pPr>
        <w:spacing w:line="500" w:lineRule="exact"/>
        <w:ind w:firstLine="480" w:firstLineChars="200"/>
        <w:rPr>
          <w:rFonts w:ascii="宋体" w:hAnsi="宋体"/>
          <w:sz w:val="24"/>
        </w:rPr>
      </w:pPr>
      <w:r>
        <w:rPr>
          <w:rFonts w:hint="eastAsia" w:ascii="宋体" w:hAnsi="宋体"/>
          <w:sz w:val="24"/>
        </w:rPr>
        <w:t>每延误一天按总造价</w:t>
      </w:r>
      <w:r>
        <w:rPr>
          <w:rFonts w:ascii="宋体" w:hAnsi="宋体"/>
          <w:sz w:val="24"/>
        </w:rPr>
        <w:t>0.5</w:t>
      </w:r>
      <w:r>
        <w:rPr>
          <w:rFonts w:hint="eastAsia" w:ascii="宋体" w:hAnsi="宋体"/>
          <w:sz w:val="24"/>
        </w:rPr>
        <w:t>‰罚款（由于招标人及第三方原因导致延期及不可抗力因素除外）。</w:t>
      </w:r>
    </w:p>
    <w:p>
      <w:pPr>
        <w:spacing w:line="500" w:lineRule="exact"/>
        <w:ind w:firstLine="241" w:firstLineChars="100"/>
        <w:rPr>
          <w:rFonts w:hint="eastAsia" w:hAnsi="宋体"/>
          <w:sz w:val="24"/>
        </w:rPr>
      </w:pPr>
      <w:r>
        <w:rPr>
          <w:rFonts w:hint="eastAsia" w:ascii="宋体" w:hAnsi="宋体"/>
          <w:b/>
          <w:sz w:val="24"/>
          <w:lang w:eastAsia="zh-CN"/>
        </w:rPr>
        <w:t>六</w:t>
      </w:r>
      <w:r>
        <w:rPr>
          <w:rFonts w:hint="eastAsia" w:ascii="宋体" w:hAnsi="宋体"/>
          <w:b/>
          <w:sz w:val="24"/>
        </w:rPr>
        <w:t>、联系方式</w:t>
      </w:r>
      <w:r>
        <w:rPr>
          <w:rFonts w:hint="eastAsia" w:ascii="宋体" w:hAnsi="宋体"/>
          <w:sz w:val="24"/>
        </w:rPr>
        <w:t>：联系人：</w:t>
      </w:r>
      <w:r>
        <w:rPr>
          <w:rFonts w:hint="eastAsia" w:hAnsi="宋体"/>
          <w:sz w:val="24"/>
        </w:rPr>
        <w:t>张老师  联系电话：0431-85095449 15543556116</w:t>
      </w:r>
    </w:p>
    <w:p>
      <w:pPr>
        <w:spacing w:line="500" w:lineRule="exact"/>
        <w:rPr>
          <w:rFonts w:hint="eastAsia" w:ascii="宋体" w:hAnsi="宋体"/>
          <w:sz w:val="24"/>
        </w:rPr>
      </w:pPr>
    </w:p>
    <w:p>
      <w:pPr>
        <w:widowControl w:val="0"/>
        <w:numPr>
          <w:ilvl w:val="0"/>
          <w:numId w:val="0"/>
        </w:numPr>
        <w:tabs>
          <w:tab w:val="left" w:pos="420"/>
          <w:tab w:val="left" w:pos="525"/>
        </w:tabs>
        <w:spacing w:line="360" w:lineRule="auto"/>
        <w:ind w:firstLine="4800" w:firstLineChars="2000"/>
        <w:jc w:val="both"/>
        <w:rPr>
          <w:rFonts w:hint="eastAsia"/>
          <w:color w:val="auto"/>
          <w:lang w:eastAsia="zh-CN"/>
        </w:rPr>
      </w:pPr>
    </w:p>
    <w:p>
      <w:pPr>
        <w:widowControl w:val="0"/>
        <w:numPr>
          <w:ilvl w:val="0"/>
          <w:numId w:val="0"/>
        </w:numPr>
        <w:tabs>
          <w:tab w:val="left" w:pos="420"/>
          <w:tab w:val="left" w:pos="525"/>
        </w:tabs>
        <w:spacing w:line="360" w:lineRule="auto"/>
        <w:ind w:firstLine="4800" w:firstLineChars="2000"/>
        <w:jc w:val="both"/>
        <w:rPr>
          <w:rFonts w:hint="eastAsia"/>
          <w:color w:val="auto"/>
          <w:lang w:eastAsia="zh-CN"/>
        </w:rPr>
      </w:pPr>
    </w:p>
    <w:p>
      <w:pPr>
        <w:widowControl w:val="0"/>
        <w:numPr>
          <w:ilvl w:val="0"/>
          <w:numId w:val="0"/>
        </w:numPr>
        <w:tabs>
          <w:tab w:val="left" w:pos="420"/>
          <w:tab w:val="left" w:pos="525"/>
        </w:tabs>
        <w:spacing w:line="360" w:lineRule="auto"/>
        <w:ind w:firstLine="4800" w:firstLineChars="2000"/>
        <w:jc w:val="both"/>
        <w:rPr>
          <w:rFonts w:hint="eastAsia"/>
          <w:color w:val="auto"/>
          <w:lang w:eastAsia="zh-CN"/>
        </w:rPr>
      </w:pPr>
    </w:p>
    <w:p>
      <w:pPr>
        <w:widowControl w:val="0"/>
        <w:numPr>
          <w:ilvl w:val="0"/>
          <w:numId w:val="0"/>
        </w:numPr>
        <w:tabs>
          <w:tab w:val="left" w:pos="420"/>
          <w:tab w:val="left" w:pos="525"/>
        </w:tabs>
        <w:spacing w:line="360" w:lineRule="auto"/>
        <w:ind w:firstLine="4800" w:firstLineChars="2000"/>
        <w:jc w:val="both"/>
        <w:rPr>
          <w:rFonts w:hint="eastAsia"/>
          <w:color w:val="auto"/>
          <w:lang w:eastAsia="zh-CN"/>
        </w:rPr>
      </w:pPr>
    </w:p>
    <w:p>
      <w:pPr>
        <w:widowControl w:val="0"/>
        <w:numPr>
          <w:ilvl w:val="0"/>
          <w:numId w:val="0"/>
        </w:numPr>
        <w:tabs>
          <w:tab w:val="left" w:pos="420"/>
          <w:tab w:val="left" w:pos="525"/>
        </w:tabs>
        <w:spacing w:line="360" w:lineRule="auto"/>
        <w:ind w:firstLine="4800" w:firstLineChars="2000"/>
        <w:jc w:val="both"/>
        <w:rPr>
          <w:rFonts w:hint="eastAsia"/>
          <w:color w:val="auto"/>
          <w:lang w:eastAsia="zh-CN"/>
        </w:rPr>
      </w:pPr>
    </w:p>
    <w:p>
      <w:pPr>
        <w:widowControl w:val="0"/>
        <w:numPr>
          <w:ilvl w:val="0"/>
          <w:numId w:val="0"/>
        </w:numPr>
        <w:tabs>
          <w:tab w:val="left" w:pos="420"/>
          <w:tab w:val="left" w:pos="525"/>
        </w:tabs>
        <w:spacing w:line="360" w:lineRule="auto"/>
        <w:ind w:firstLine="4800" w:firstLineChars="2000"/>
        <w:jc w:val="both"/>
        <w:rPr>
          <w:rFonts w:hint="eastAsia" w:eastAsia="宋体"/>
          <w:color w:val="auto"/>
          <w:lang w:eastAsia="zh-CN"/>
        </w:rPr>
      </w:pPr>
      <w:r>
        <w:rPr>
          <w:rFonts w:hint="eastAsia"/>
          <w:color w:val="auto"/>
          <w:lang w:eastAsia="zh-CN"/>
        </w:rPr>
        <w:t>东区后勤服务办公室</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大标宋简体">
    <w:altName w:val="微软雅黑"/>
    <w:panose1 w:val="02010601030101010101"/>
    <w:charset w:val="86"/>
    <w:family w:val="auto"/>
    <w:pitch w:val="default"/>
    <w:sig w:usb0="00000000" w:usb1="00000000" w:usb2="00000010" w:usb3="00000000" w:csb0="00040000" w:csb1="00000000"/>
  </w:font>
  <w:font w:name="宋体-18030">
    <w:altName w:val="Arial Unicode MS"/>
    <w:panose1 w:val="02010609060101010101"/>
    <w:charset w:val="86"/>
    <w:family w:val="modern"/>
    <w:pitch w:val="default"/>
    <w:sig w:usb0="00000000" w:usb1="00000000" w:usb2="000A005E"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C0B9D"/>
    <w:rsid w:val="724C0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2"/>
      <w:lang w:val="en-US" w:eastAsia="en-US"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2017-10-31T02:49:00Z</dcterms:created>
  <dc:creator>Administrator</dc:creator>
  <cp:lastModifiedBy>Administrator</cp:lastModifiedBy>
  <dcterms:modified xsi:type="dcterms:W3CDTF">2017-10-31T02:50:44Z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